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dbfba0eb1415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16971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KONJŠČINA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1.481.718,92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1.577.209,73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1.380.971,52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1.675.976,20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98.766,47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67.131,08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23.424,22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66.983,46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23.372,72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122.139,19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ostvaren je manjak prihoda i primitaka u iznosu 122.139,19 EUR-a. Manjak prihoda i primitaka nastao je zbog primjene novog Pravilnika o proračunskom računovodstvu i Računskom planu koji se primjenjuje od 1. siječnja 2025. godine. Novim Pravilnikom propisano je da se podskupina računa  </w:t>
      </w:r>
      <w:r>
        <w:rPr>
          <w:i/>
        </w:rPr>
        <w:t xml:space="preserve">193 Kontinuirani rashodi budućih razdoblja</w:t>
      </w:r>
      <w:r>
        <w:t xml:space="preserve"> ukida te da se kontinuirani rashodi budućih razdoblja prenose na odgovarajuće račune razreda </w:t>
      </w:r>
      <w:r>
        <w:rPr>
          <w:i/>
        </w:rPr>
        <w:t xml:space="preserve">3 Rashodi poslovanja. S</w:t>
      </w:r>
      <w:r>
        <w:t xml:space="preserve">lijedom navedenog, rashodi za prosinac 2024. godine knjiženi su na račune razreda 3, odnosno u izvještajnom razdoblju iskazano je 13 rashoda, a 12 prihoda. Manjak prihoda i primitaka pokriva se prenesenim viškom sredstava iz prethodnog razdoblja.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12.490,11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15.927,38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127,5</w:t>
            </w:r>
          </w:p>
        </w:tc>
      </w:tr>
    </w:tbl>
    <w:p>
      <w:pPr>
        <w:spacing w:before="0" w:after="0"/>
      </w:pPr>
    </w:p>
    <w:p>
      <w:r>
        <w:t xml:space="preserve">U izvještajnom razdoblju ostvareno je povećanje prihoda od pruženih usluga zbog povećanja cijene najma školske kuhinje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1.195.969,47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1.480.664,41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r>
        <w:t xml:space="preserve">Rashodi za zaposlene u izvještajnom razdoblju tekuće godine veći su u usporedbi s istim izvještajnim razdobljem prethodne godine zbog primjene Uredbe o novim koeficijentima zaposlenih u obrazovanju, kao i povećanje osnovice za obračun plaća u javnim službama. Na povećanje rashoda za zaposlene je utjecala primjena novog Pravilnika o proračunskom računovodstvu i Računskom planu i drugačijim knjigovodstvenim evidencijama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 izvještajnom razdoblju ostvareni su rashodi za stručno usavršavanje zaposlenika koji se odnose na troškove nastavnika pratitelja po projektu ERASMUS+.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126.560,48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6007,9</w:t>
            </w:r>
          </w:p>
        </w:tc>
      </w:tr>
    </w:tbl>
    <w:p>
      <w:pPr>
        <w:spacing w:before="0" w:after="0"/>
      </w:pPr>
    </w:p>
    <w:p>
      <w:r>
        <w:t xml:space="preserve">Zbog primjene novog Pravilnika o proračunskom računovodstvu i Računskom planu od 01. siječnja 2025. godine, provode se određena knjiženja na </w:t>
      </w:r>
      <w:r>
        <w:rPr>
          <w:i/>
        </w:rPr>
        <w:t xml:space="preserve">Skupini računa - 16 i 96</w:t>
      </w:r>
      <w:r>
        <w:t xml:space="preserve">, a što se prethodnih godina nije provodilo.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0211 do 0214 - 02921)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1.380.821,37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1.356.284,51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98,2</w:t>
            </w:r>
          </w:p>
        </w:tc>
      </w:tr>
    </w:tbl>
    <w:p>
      <w:pPr>
        <w:spacing w:before="0" w:after="0"/>
      </w:pPr>
    </w:p>
    <w:p>
      <w:r>
        <w:t xml:space="preserve">Vrijednost građevinskih objekata na kraju obračunskog razdoblja smanjena je u odnosu na početno stanje za iznos ispravka vrijednosti građevinskih objekata koji iznosi 24.536,86 EUR-a.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12.312,07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324,9</w:t>
            </w:r>
          </w:p>
        </w:tc>
      </w:tr>
    </w:tbl>
    <w:p>
      <w:pPr>
        <w:spacing w:before="0" w:after="0"/>
      </w:pPr>
    </w:p>
    <w:p>
      <w:r>
        <w:t xml:space="preserve">U izvještajnom razdoblju provedena je minimalna sigurnosna zaštita škole prema uputama MZO. KZŽ financirala je ugradnju uređaja za kontrolu pristupa, digitalni video snimač, video kamere, sigurnosne kugle na sva vanjska vrata u iznosu od 8.522,98 EUR-a te se iz tog razloga vrijednost opreme za održavanje i zaštitu na kraju obračunskog razdoblja povećala u odnosu na početno stanje upravo za navedeni iznos.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 i 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0231 do 0234 - 02923)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 i 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74.074,69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61.684,67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83,3</w:t>
            </w:r>
          </w:p>
        </w:tc>
      </w:tr>
    </w:tbl>
    <w:p>
      <w:pPr>
        <w:spacing w:before="0" w:after="0"/>
      </w:pPr>
    </w:p>
    <w:p>
      <w:r>
        <w:t xml:space="preserve">Vrijednost prijevoznih sredstava na kraju obračunskog razdoblja smanjena je u odnosu na početno stanje za iznos ispravka vrijednosti kamiona koji iznosi 12.390,02 EUR-a.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Građevinski objekti u pripremi odnose se na projektno tehničku dokumentaciju za izradu budućeg poligona. U ovom obračunskom razdoblju iznose 3.562,50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141.712,60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 početku izvještajnog razdoblja, stanje novca na računu banaka iznosilo je 141.712,60 eura. Prilikom prelaska proračunskih korisnika u potpunu riznicu KZŽ, s datumom 29.08.2025. godine, ukinut je žiro račun škole i sredstva su prenesena na žiro račun KZŽ u iznosu od 138.421,72 EUR-a.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366,2</w:t>
            </w:r>
          </w:p>
        </w:tc>
      </w:tr>
    </w:tbl>
    <w:p>
      <w:pPr>
        <w:spacing w:before="0" w:after="0"/>
      </w:pPr>
    </w:p>
    <w:p>
      <w:r>
        <w:t xml:space="preserve">Navedena potraživanja odnose se na bolovanja HZZO-a koja nisu refundirana do 31. prosinca tekuće godine i na refundacije međusobnih obveza subjekata općeg proračuna. Srednja škola Konjščina i Osnovna škola Konjščina zajednički koriste sportsku dvoranu te međusobno dijele troškove iste.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152.514,21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Prilikom prelaska proračunskih korisnika u potpunu riznicu KZŽ, umjesto konta žiroračuna 11121 koristi se konto 16721, a na kraju izvještajnog razdoblja iznosi 152.514,21 EUR-a.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231 do 234 + 235 + 236 + 237 do 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115.797,28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140.522,33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r>
        <w:t xml:space="preserve">Na kraju izvještajnog razdoblja, obveze su povećane u iznosu 27.313,94 EUR-a u odnosu na početno stanje i iznose:</w:t>
      </w:r>
    </w:p>
    <w:p>
      <w:pPr>
        <w:pStyle w:val="ListParagraph"/>
        <w:numPr>
          <w:ilvl w:val="0"/>
          <w:numId w:val="2"/>
        </w:numPr>
      </w:pPr>
      <w:r>
        <w:t xml:space="preserve">Obveze za zaposlene (231) iznose 125.876,45 EUR-a</w:t>
      </w:r>
    </w:p>
    <w:p>
      <w:pPr>
        <w:pStyle w:val="ListParagraph"/>
        <w:numPr>
          <w:ilvl w:val="0"/>
          <w:numId w:val="2"/>
        </w:numPr>
      </w:pPr>
      <w:r>
        <w:t xml:space="preserve">Obveze za materijalne rashode (232) iznose 13.121,73 EUR-a</w:t>
      </w:r>
    </w:p>
    <w:p>
      <w:pPr>
        <w:pStyle w:val="ListParagraph"/>
        <w:numPr>
          <w:ilvl w:val="0"/>
          <w:numId w:val="2"/>
        </w:numPr>
      </w:pPr>
      <w:r>
        <w:t xml:space="preserve">Ostale tekuće obveze (239) iznose 1.524,15 EUR-a</w:t>
      </w:r>
    </w:p>
    <w:p>
      <w:pPr>
        <w:pStyle w:val="ListParagraph"/>
        <w:numPr>
          <w:ilvl w:val="0"/>
          <w:numId w:val="2"/>
        </w:numPr>
      </w:pPr>
      <w:r>
        <w:t xml:space="preserve">Obveze za nabavu proizvedene dugotrajne imovine (242) iznose 108,03 EUR-a.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financijske rashode (šifre 2341 do 2343)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Prilikom prelaska proračunskih korisnika u potpunu riznicu KZŽ i ukidanjem žiro računa škole, škola više nema obveze za bakarske naknade.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obveza za izvještajno razdoblje.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Pomoći temeljem prijenosa EU sredstava u iznosu 61.851,40 EUR-a odnose se na sredstva iz programa ERASMUS+ 2025-1-HR01-KA121-VET-000315177 u iznosu 50.296,00 EUR-a i na sredstva iz programa ERASMUS+ 2024-1-HR01-KA121-VET-000236218 u iznosu 11.555,40 EUR-a. Rashodi u iznosu 61.399,99 EUR-a odnose se na rashode putovanja učenika na praksu u EU zemlje. </w:t>
      </w:r>
    </w:p>
    <w:p>
      <w:r>
        <w:t xml:space="preserve">Prihodi iz nadležnog proračuna za financiranje redovne djelatnosti proračunskih korisnika u iznosu 31.874,24 EUR-a odnose se na projekt ESF - </w:t>
      </w:r>
      <w:r>
        <w:rPr>
          <w:i/>
        </w:rPr>
        <w:t xml:space="preserve">Baltazar 8 </w:t>
      </w:r>
      <w:r>
        <w:t xml:space="preserve">kojim se financiraju pomoćnici u nastavi učenicima s teškoćama u razvoju u osnovnim i srednjim školama. Rashodi za financiranje pomoćnika u nastavi u izvještajnom razdoblju iznose 23.869,57 EUR-a (plaće, doprinosi za zdravstveno osiguranje, naknade za prijevoz na posao i s posla, dnevnice za službena putovanja, ostali nenavedeni materijalni troškovi).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8c95de85f14bec" /><Relationship Type="http://schemas.openxmlformats.org/officeDocument/2006/relationships/numbering" Target="/word/numbering.xml" Id="Rede7fadb79a64994" /></Relationships>
</file>